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Костромской области от 30.11.2022, оставленным без изменения постановлением Второго арбитражного апелляционного суда от 21.02.2023 и постановлением Арбитражного суда Волго-Вятского округа от 13.06.2023, в удовлетворении заявления отказано. В кассационной жалобе Тимофеев Д.А. просит об отмене судебных актов, ссылаясь на неопределение надлежащего ответчика и неустановление размера подлежащих взысканию убытков.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заявленные убытки составляют расходы на уплату земельного налога, налога на имущество, финансовые санкции в отношении находящегося в залоге у банка имущества, возникшие после введения процедуры реализации имущества должника. В исследованных обстоятельствах разработки и утверждения Положения о продаже находящегося в залоге имущества суды признали отсутствие неправомерных действий банка и причинно-следственной связи между длительным неутверждением условий продажи имущества и поведением банка как залогового кредитора, необходимых в силу статей 15, 1064 Гражданского кодекса Российской Федерации для взыскания спорных расходов в качестве убытков. Довод финансового управляющего о необходимости проявления судом инициативы в замене ответчика на надлежащего является неосновательным, учитывая отсутствие законного условия для применения такой инициативы (часть 6 статьи 46 Арбитражного процессуального кодекса Российской Федерации). В силу пункта 6 статьи 138 Федерального закона от 26.10.2002 № 127-ФЗ «О несостоятельности (банкротстве)» и судебной практике его применения расходы на уплату текущей задолженности по земельному налогу и налогу на имущество в отношении предмета залога при банкротстве залогодателя покрываются за счет выручки от реализации заложенного имущества до начала расчетов с залоговым кредитором. Иная оценка правоотношений управляющим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Тимофееву Д.А.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