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«МусорСтрой96» (далее – общество, ответчик) обратилось в арбитражный суд с иском к обществу «Спарта» (далее – компания, заявитель, ответчик) о взыскании 1 565 000 руб. задолженности, 293 915 руб. неустойки, с последующим ее начислением на сумму задолженности по ставке 0,1% в день по день фактической оплаты долга, за исключением периода действия моратория на начисление неустоек, установленного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кредиторами». Решением Арбитражного суда Свердловской области от 30.01.2023, оставленным без изменения постановлением Семнадцатого арбитражного 2 апелляционного суда от 11.05.2023 и постановлением Арбитражного суда Уральского округа от 06.09.2023, иск удовлетворен.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судами неправомерно взыскана задолженность по неподписанным и непринятым компанией актам № 435 от 07.09.2021, № 459 от 23.09.2021. По мнению ответчика, договор № 100/2021 от 06.07.2021 является недействительным, стоимость услуги сторонами не согласована, факт оказания услуг на спорную сумму истцом не доказан.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06.07.2021 между ООО «Спарта» (заказчик) и ООО «Мусорстрой96» (исполнитель) заключен договор поставки № 100/2021. В рамках указанного договора истец обязался оказать заказчику услуги с осуществлением перевозок и передачей специализированным организациям предъявленного ответчиком груза (мусора в контейнерах). Как указал истец, общество оказало компании предусмотренные договором услуги в полном объеме и надлежащего качества, однако заказчик оказанные услуги в полном объеме не оплатил. Поскольку в добровольном порядке ответчиком оказанные услуги не были оплачены, а реализованный истцом досудебный порядок урегулирования спора не принес положительного результата, истец, начислив неустойку, обратился в суд с настоящим иском. Исследовав и оценив в порядке, предусмотренном статьей 71 Арбитражного процессуального кода Российской Федерации, представленные в материалы дела доказательства, руководствуясь статьями 182, 183, 307, 309- 310, 330, 331, 408, 450 Гражданского кодекса Российской Федерации (далее - ГК РФ), разъяснениями, изложенными в пункте 123 Постановления Пленума 3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правовой позицией, отраженной в Постановлении Президиума Высшего Арбитражного Суда Российской Федерации от 05.02.2013 № 12444/12 по делу № А32-24023/2011, суд первой инстанции удовлетворил исковые требования в полном объеме. Руководствуясь статьями 166, 174, 309, 424, 779, 781 ГК РФ, разъяснениями, изложенными в пункте 71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апелляционной и кассационной инстанции поддержали выводы суда первой инстанции. При этом судебные инстанции исходили из того, что между сторонами заключен договор поставки № 100/2021, в рамках которого истец отказывал ответчику услуги по вывозу мусора. Фактическое исполнение указанного договора и оказание услуг на спорную сумму подтверждено материалами дела, в том числе актами оказанных услуг от 25.07.2021 № 366, от 27.07.2021 № 370, от 02.08.2021 № 375, от 10.08.2021 № 395, от 07.09.2021 № 435, от 23.09.2021 № 459, платежными поручениями, путевыми листами, гарантийным письмом. В отсутствии каких-либо претензий по качеству и объему оказанных услуг акты от 07.09.2021 № 435 и от 23.09.2021 № 459, подписанные обществом в одностороннем порядке, приняты судами в качестве надлежащих доказательств по делу. Ссылка компании на несоответствие объема мусора, указанного в путевых листах, объему мусора, предусмотренного строительным контрактом, и наличие заключенных договоров с иными лицами рассмотрена судами и мотивированно отклонена. Признавая несостоятельной позицию компании о том, что объем вывозимого мусора не мог превышать объем, согласованный по контракту с муниципальным заказчиком, обязательство перед которым, в свою очередь, выполнял ответчик, суды исходили из того, что общество представило доказательства фактического оказания услуг, тогда как ответчик ссылается на расчётные величины, вместе с тем объективную невозможность образования мусора на объекте (месте вывоза) в большем объёме, чем было предусмотрено контрактом, ничем не доказал.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«Спарта»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