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и подтверждая правильность этого вывода, суды, исследовав и оценив представленные в материалы дела доказательства, руководствуясь положениями действующего законодательства, регулирующего спорные правоотношения, исходили из недоказанности истцом 2 факта передачи ответчику во временное владение транспортного средства, принадлежащего истцу на праве собственности, и, как следствие, неосновательного обогащения ответчика за счет истца.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индивидуального предпринимателя Самосудова Виталия Алексеевича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