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участников строительства требования о передаче жилого помещения – двухкомнатной квартиры по адресу: г. Москва, пом. Десеновское, &lt;...&gt;, этаж 3, кв .22, общей площадью 68,4 кв.м., вытекающего из договора долевого участия в строительстве от 14.12.2017 № 6/22/ДЛ5/14122017, заключенного между обществом ограниченной ответственностью «ПромСпецСтрой» (участник долевого строительства) и застройщиком, переданного обществу по соглашению от 10.04.2018 № 22 об уступке прав и обязанностей. Определением Арбитражного суда города Москвы от 10.02.2023, оставленным без изменения постановлениями Девятого арбитражного апелляционного суда от 26.05.2023 и Арбитражного суда Московского округа от 28.08.2023,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включении требования о передаче жилого помещения в реестр требований участников строительства.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201.1 , 201.4 , 201.9 Федерального закона от 26.10.2002 № 127-ФЗ «О несостоятельности (банкротстве)», исходили из того, что обществом не представлено доказательств в обоснование включения требования о передаче жилого помещения в реестр требований участников строительства, в связи с чем отказали в удовлетворении заявления.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№9 по г. Москве (подробнее) ООО "СТРОИТЕЛЬНАЯ КОМПАНИЯ МАСТЕР" (подробнее) ООО "УМ-Банк" в лице ГК АСВ (подробнее) Ответчики: ЗАО "ДЕСНА-ЛЭНД" (подробнее) Иные лица: Комитет г. Москвы по обеспечению реализации инвестиционных проектов в строительстве и контролю в области долевого строительства (подробнее) Московская саморегулируемая организация профессиональных арбитражных управляющих (подробнее) ООО Лоджимарк Компани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