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итогов торгов в форме конкурса с закрытой формой предоставления предложений о цене на право по сдаче в аренду имущества должника по лоту № 1 с протоколом от 28.12.2021 по результатам этих торгов на право аренды имущества согласно приложению № 1 к положению о порядке, цене, сроках и условиях заключения договора аренды имущественного комплекса должника, одобренного собранием кредиторов 23.07.2021; о переводе на себя прав и обязанностей победителя торгов по лотам №№ 1 и 2 с протоколами от 28.12.2021. Определением Арбитражного суда города Санкт – Петербурга и Ленинградской области от 14.02.2023, оставленным без изменения постановлениями Тринадцатого арбитражного апелляционного суда от 01.06.2023 и Арбитражного суда Северо-Западного округа от 20.09.2023,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статьями 167, 447, 449 Гражданского кодекса Российской Федерации, статьёй 139 Федерального закона от 26.10.2002 № 127-ФЗ «О несостоятельности (банкротстве)», исходили из недоказанности нарушения порядка и процедуры проведения оспариваемых торгов по реализации имущества должника раздельно двумя лотами №№ 1 и 2 (по видам производств), прав и законных интересов должника, кредиторов и заявителя.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