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27.05.2022 иск удовлетворен. Постановлением Второго арбитражного апелляционного суда от 27.02.2023 решение изменено, иск удовлетворен частично. Постановлением Арбитражного суда Волго-Вятского округа от 18.08.2023 постановление апелляционного суда отменено, решение оставлено в силе. В кассационной жалобе общество «Амур-Газ» просит об отмене судебных актов, ссылаясь на отсутствие вины в простое и причастность к нему истца и его экспедитора. Согласно части 1 статьи 291.11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 первой инстанции по итогу исследования и оценки доказательств установил нарушение ответчиком согласованного срока использования цистерн, за которое предусмотрена договорная неустойка, признанная рассчитанной в соответствии с условиями соглашения от 21.08.2019 № 3/КГГС-214/19. В отсутствие у суда апелляционной инстанции оснований для иной оценки тех же доказательств окружной суд отменил апелляционное постановление в соответствии с компетенцией, предусмотренной статьями 286, 287 Арбитражного процессуального кодекса Российской Федерации. Доводы кассационной жалобы не составляют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«Амур-Газ»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