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14.02.2023, оставленным без изменения постановлением Тринадцатого арбитражного апелляционного суда от 22.05.2023 и постановлением Арбитражного суда Северо-Западного округа от 14.09.2023, в удовлетворении иска отказано. В кассационной жалобе общество «Правильный выбор» просит об отмене судебных актов, ссылаясь на несоответствие выводов судов фактическим обстоятельствам и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стоимость повреждения груза компенсирована истцу страховой выплатой, а возмещение уплаченного экспедитору вознаграждения не предусмотрено договором транспортной экспедиции как требуется в случае повреждения груза пунктом 3 статьи 7 Федерального закона от 30.06.2003 № 87-ФЗ «О транспортно-экспедиционной деятельности». Суды установили отсутствие нарушения указанного в накладной срока доставки груза, поэтому не признали причинно-следственной связи между уплаченной контрагенту неустойкой и исполнением ответчиком обязательств по договору транспортной экспедиции, необходимой в силу статей 15, 393 Гражданского кодекса Российской Федерации для взыскания убытков. Иные оценка заявителем фактических обстоятельств дела и толкование норм материального права не создают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«Правильный выбор»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