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22.02.2023, оставленным без изменения постановлением Девятого арбитражного апелляционного суда от 03.07.2023 и постановлением Арбитражного суда Московского округа от 18.08.2023, заявление удовлетворено. В кассационной жалобе акционерное общество «Сибирская Угольная Энергетическая Компания» просит об отмене судебных актов, ссылаясь на неправильное определение периода индексации.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Суды, руководствуясь пунктом 1 статьи 183 Арбитражного процессуального кодекса Российской Федерации и постановлением Конституционного Суда Российской Федерации от 22.07.2021 № 40-П, признали право истца на возмещение финансовых потерь посредством индексации присужденной суммы со дня вынесения решения суда, определив ее размер в соответствии с индексом потребительских цен на территории Российской Федерации за период неисполнения. Иное толкование заявителем правовых норм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«Сибирская Угольная Энергетическая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