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Амурской области от 22.03.2023, оставленным без изменения постановлением Шестого арбитражного апелляционного суда от 19.05.2023 и постановлением Арбитражного суда Дальневосточного округа от 14.08.2023, заявление удовлетворено. В кассационной жалобе Горюнова Н.Н. просит об отмене судебных актов, ссылаясь на неиспользование спорных денежных средств на нужды семьи, возникновение обязательства перед кредитором в период нахождения супругов в разводе.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согласованность действий супругов в вопросах распоряжения принадлежащим им имуществом и неопровержение следующей из статей 35, 45 Семейного кодекса Российской Федерации презумпции расходования спорных сумм на общие нужды. Вопросы доказывания и оценки доказательств, положенные в основу доводов жалобы,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Горюновой Наталье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