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14.06.2023, оставленным без изменения постановлением Арбитражного суда Волго-Вятского округа от 16.08.2023, производство по апелляционной жалобе Кармановой В.Е. на определение Арбитражного суда Республики Коми от 16.02.2023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обжалование. В кассационной жалобе Карманова В.Е. просит отменить судебные акты, принятые в отношении апелляционной жалобы, ссылаясь на объективную причину пропуска срока на обжалование.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управляющего о восстановлении срока подачи апелляционной жалобы рассмотрено применительно к обозначенным причинам в соответствии с компетенцией суда, выводы которого об оценке таких причин не подлежат пересмотру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Кармановой Варваре Егоровне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