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15.11.2022 в удовлетворении заявления отказано. Постановлением Первого арбитражного апелляционного суда от 04.04.2023 оставленным без изменения постановлением Арбитражного суда Волго-Вятского округа от 07.08.2023, определение отменено в части, заявление удовлетворено частично: из конкурсной массы исключена 1/2 доли спорной квартиры. В кассационной жалобе Опарин А.А. просит об отмене судебных актов, ссылаясь на игнорирование и отсутствие правовой оценки его доводов 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попадание спорного имущества под исполнительский иммунитет, разрешив заявление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Доводы о недобросовестности должника оценены в соответствии с компетенцией судов и признаны не влияющими на судьбу спорного имущества как обладающего исполнительским иммунитетом.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Опарину Антону Александровичу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