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Тверской области от 11.01.2023, оставленным без изменения постановлением Четырнадцатого арбитражного апелляционного суда от 24.04.2023 и постановлением Арбитражного суда Северо-Западного округа от 02.08.2023, в удовлетворении заявления отказано. В кассационной жалобе компания просит об отмене судебных актов, ссылаясь на нарушение правил оценки доказательств, игнорирование перерыва течения срока исковой давности.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признали заявленное требование не отвечающим критериям статей 71, 100 Федерального закона от 26.10.2002 № 127-ФЗ «О несостоятельности (банкротстве)» и предъявленным с нарушением статьи 10 Гражданского кодекса Российской Федерации. Вопросы оценки доказательств, на которых построены доводы жалобы, не создают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Fergus Fallis Holdings Limited (Фергус Фоллс Холдингс Лимитед)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