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Центрального округа от 19.07.2023, оставленным без изменения определением того же суда от 13.09.2023, жалоба Аветисяна Г.В. на определение Арбитражного суда Курской области от 26.09.2022 и постановление Девятнадцатого арбитражного апелляционного суда от 17.05.2023 возвращена в связи с пропуском срока подачи и отказом в восстановлении срока. В кассационной жалобе Аветисян Г.В. просит отменить судебные акты как незаконные.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 округа оценил приведенную причину пропуска срока на подачу кассационной жалобы и установил отсутствие у нее объективного характера.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Аветисяну Гамлету Володяевичу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