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Иркутской области от 03.05.2023, оставленным без изменения постановлением Четвертого арбитражного апелляционного суда от 02.07.2023 и постановлением Арбитражного суда Восточно-Сибирского округа от 03.10.2023, из конкурсной массы должника исключены денежные средства в размере 3 210 570 рублей. В кассационной жалобе Какайкина В.В. просит об отмене судебных актов, ссылаясь на игнорирование недобросовестности должника.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В ситуации реализации имущества, находившегося в залоге и являвшегося для должника единственным пригодным жильем, оставшиеся после установленного законом распределения денежные средства выделены должнику в соответствии со статьей 446 Гражданского процессуального кодекса Российской Федерации. Обстоятельств для снятия исполнительского иммунитета суды не установили.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Какайкиной Валентине Валерьевне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