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Курской области от 06.12.2022, оставленным без изменения постановлением Девятнадцатого арбитражного апелляционного суда от 31.05.2023 и постановлением Арбитражного суда Центрального округа от 07.09.2023, в удовлетворении заявления отказано. В кассационной жалобе Молотов Е.Ю. просит об отмене судебных актов, ссылаясь на неправильную оценку обстоятельств совершения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реальность правоотношений сторон договоров и реализацию имущества за надлежащее встречное предоставление, использованное должником для погашения долгов, суды признали отсутствующими условия для недействительности сделок в силу пункта 2 статьи 61.2 Федерального закона от 26.10.2002 № 127-ФЗ «О несостоятельности (банкротстве)» и статей 10, 168 Гражданского кодекса Российской Федерации. Иное видение управляющим обстоятельств совершения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Молотову Евгению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