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16.02.2023, оставленным без изменения постановлением Тринадцатого арбитражного апелляционного суда от 22.05.2023 и постановлением Арбитражного суда Северо-Западного округа от 25.08.2023, заявление удовлетворено. В кассационных жалобах должник и ответчик просят об отмене судебных актов,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В исследованных обстоятельствах совершения сделки суды установили продажу недвижимости в период подозрительности и за неравноценное встречное предоставление, поэтому признали оспариваемый договор недействительным в силу пункта 1 статьи 61.2 Федерального закона от 26.10.2002 № 127-ФЗ «О несостоятельности (банкротстве)». Требуемая переоценка установленных обстоятельств не влечет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Заволипенской Елене Петровне и Яровой Татьяне Сергеевне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