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28.02.2023, оставленным без изменения постановлением Тринадцатого арбитражного апелляционного суда от 25.05.2023 и постановлением Арбитражного суда Северо-Западного округа от 08.09.2023, в удовлетворении заявления отказано. В кассационной жалобе Быткина Ю.В. просит об отмене судебных актов, ссылаясь на отсутствие необходимости подтверждения права собственности на принятое в порядке наследования имущество для предъявления должнику требования в связи его присвоением.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доказательства, представленные в подтверждение возникновения у Быткиной Ю.В. убытков, и признали их не отвечающими критериям статей 71, 100 Федерального закона от 26.10.2002 № 127-ФЗ «О несостоятельности (банкротстве)» для установления основанного на них требования кредитора в реестре. Вопросы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Быткиной Юлии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