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21.02.2023, оставленным без изменения постановлением Девятого арбитражного апелляционного суда от 03.07.2023 и постановлением Арбитражного суда Московского округа от 18.08.2023, заявление удовлетворено. В кассационной жалобе акционерное общество «Сибирская Угольная Энергетическая Компания» просит об отмене судебных актов, ссылаясь на неправильное определение периода индексации.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руководствуясь пунктом 1 статьи 183 Арбитражного процессуального кодекса Российской Федерации и постановлением Конституционного Суда Российской Федерации от 22.07.2021 № 40-П, признали право истца на возмещение финансовых потерь посредством индексации присужденной суммы со дня вынесения решения суда, определив ее размер в соответствии с индексом потребительских цен на территории Российской Федерации за период неисполнения. Иное толкование заявителем правовых норм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Угольная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