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Псковской области от 03.05.2023, оставленным без изменения постановлением Четырнадцатого арбитражного апелляционного суда от 11.07.2023 и постановлением Арбитражного суда Северо-Западного округа от 26.09.2023, в удовлетворении заявления отказано. В кассационной жалобе общество просит об отмене судебных актов, ссылаясь на ненадлежащую оценку доводов и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Вывод судов о недоказанности расходования на нужды семьи должника включенных в реестр полученных от правопредшественника кредитора денежных средств основан на установленных обстоятельствах рассматриваемого спора и не противоречит статье 45 Семейного кодекса Российской Федерации, положениям Федерального закона от 26.10.2002 № 127-ФЗ «О несостоятельности (банкротстве)» и судебной практике. Требуемая переоценка обстоятельств расходования должником денежных средств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«Экшн Коллекшн»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