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 №40528 по продаже имущества должника (дебиторской задолженность лиц, обязанных оплачивать коммунальные услуги в связи с владением жилыми помещениями), оформленных протоколами торгов от 09.10.2021 №40528-1 и №40528-2; признании недействительными заключенных с обществом с ограниченной ответственностью «Альянстрансэко» (далее – общество «АТЭ») по результатам торгов договоров уступки прав требования от 12.10.2021 №8600101- 10000001497 и №1416001-10000001496. Определением Арбитражного суда Республики Северная Осетия – Алания от 26.08.2022, оставленным без изменения постановлениями Шестнадцатого арбитражного апелляционного суда от 23.11.2022 и Арбитражного суда Северо-Кавказского округа от 17.05.2023, производство по заявлению в отношении должника, исключенного из ЕГРЮЛ 10.03.2022, прекращено.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отказа в признании недействительными 2 оспариваемых торгов и заключенных с обществом «АТЭ» договоров уступки прав требований. Жалоба изучена в пределах изложенных в ней доводов. 17.10.2023 материалы дела № А61-3849/2014 были истребованы в Арбитражном суде Республики Северная Осетия – Алания.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статьёй 449 Гражданского кодекса Российской Федерации, частью 18 статьи 155 Жилищного кодекса Российской Федерации, статьями 110, 139 Федерального закона от 26.10.2002 № 127-ФЗ «О несостоятельности (банкротстве)», исходили из того, что уступка права (требования) по возврату просроченной задолженности допускается в пользу отдельной, отвечающей определённым требованиям, категории лиц, а общество «АТЭ» данным критериям соответствовало. Судами установлено, что оспариваемые торги состоялись без нарушения порядка и процедуры их проведения, а признание недействительными и применение последствий недействительности заключенных на торгах сделок не восстановит права заявителя ввиду завершения процедуры конкурсного производства и исключения должника из ЕГРЮЛ. Выводы судов в обжалуемой заявителем части соответствуют нормам права, оснований для переоценки этих выводов не имеется. Результаты рассмотрения доводов кассационной жалобы, направленных, по сути, на переоценку доказательств и установленных судами фактических обстоятельств дела,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