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28.02.2023 в удовлетворении заявления отказано. Постановлением Тринадцатого арбитражного апелляционного суда от 23.05.2023, оставленным без изменения постановлением Арбитражного суда Северо-Западного округа от 04.09.2023, определение отменено, восстановлен срок на подачу заявления, требование включено в третью очередь реестра. В кассационной жалобе Быткина Ю.В. просит об отмене судебных актов апелляционного и окружного судов, ссылаясь на фальсификацию расписки и принятие апелляционным судом новых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в пределах имеющихся в силу статьи 268 Арбитражного процессуального кодекса Российской Федерации полномочий оценил представленные в подтверждение наличия обязательства должника доказательства реального предоставления денежных средств и признал их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кредитора в реестре.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Быткиной Юлии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