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20.04.2022, оставленным без изменения постановлением Девятого арбитражного апелляционного суда от 23.08.2022 и постановлением Арбитражного суда Московского округа от 09.11.2022, заявление удовлетворено. В кассационной жалобе общество просит об отмене судебных актов, ссылаясь на игнорирование недобросовестного поведения должника, отсутствие правовой оценки возможности приобретения замещающего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злоупотреблений должника и проживающих с ним родственников, обладающего признаками, определенными в постановлении Конституционного Суда Российской Федерации от 26.04.2021 № 15-П, для снятия со спорной квартиры исполнительского иммунитета. Обсуждение судами применительно к жилищным правам должника и членов его семьи количественной характеристики спорной квартиры, являющейся в силу того же постановления критерием для ограничения исполнительского иммунитета, относится к оценке необходимости предоставления замещающего жилья.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«Эльбрус»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"Восточный экспресс банк" (подробнее) Среднерусский банк Сбербанка России (подробнее) Иные лица: Замоскворецкий отдел ЗАГС Управление ЗАГС Москвы (подробнее) ООО "ГК "ТЕХНО ГЛОБАЛ" (подробнее) ООО "Фирма Вэйстроймастер" (подробнее) ООО Эльбрус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