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первой инстанции, учитывая предмет и обстоятельства спора, а также позиции сторон, руководствуясь статьями 82, 144, 145 Арбитражного процессуального кодекса Российской Федерации, пришел к выводу о наличии 2 оснований для назначения судебной экспертизы, в связи с чем приостановил производство по делу. Суды апелляционной инстанции и округа указали на соответствие действий суда первой инстанции нормам процессуального законодательства. Доводы кассационной жалобы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«Метком»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