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в материалы дела доказательства с учетом заключения судебной экспертизы, руководствуясь положениями законодательства, регулирующего спорные правоотношения, установив, 2 что ответчик (подрядчик) в рамках договора выполнил работы с существенными и неустранимыми недостатками, результат выполненных работ не имеет потребительской ценности для истца (заказчик), пришли к выводу о наличии оснований для взыскания с ответчика полученной от истца суммы предварительной оплаты, стоимости давальческого материала и образцов изделий. Из содержания судебных актов следует, что суды всесторонне исследовали доказательства по делу, установили необходимые для разрешения спора обстоятельства и дали надлежащую правовую оценку доводам заявителя.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«Огни Эльфов»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