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апелляционной инстанции и округа норм материального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Исследовав и оценив представленные в материалы дела доказательства, руководствуясь положениями гражданского законодательства, суд апелляционной инстанции, с которым согласился суд округа, отказал 2 в удовлетворении иска, исходя из недоказанности истцом несения по вине ответчика спорных расходов. Приведенные в кассационной жалобе доводы направлены на переоценку фактических обстоятельств дела и представленных в материалы дела доказательств, не подтверждают существенных нарушений судами апелляционной инстанции и округа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«СуперДорстрой»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