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заявление о процессуальном правопреемстве и подтверждая правильность этого вывода, суды, исследовав и оценив представленные в материалы дела доказательства по правилам статьи 71 АПК РФ, 2 руководствуясь статьей 48 названного Кодекса, статьями 382, 384, 386 Гражданского кодекса Российской Федерации, исходили из соответствия договора уступки требования к ответчикам положениям действующего законодательства.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муниципального имущества и землепользования администрации города Орла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