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14.12.2023 с ходатайством о восстановлении срока на обжалование, пропуск которого обосновывается болезнью заявителя. Заявитель указывает на возвращение Судом первоначально поданной жалобы как поданной по истечении двухмесячного процессуального срока, предусмотренного частью 1 статьи 291.2 Арбитражного процессуального кодекса Российской Федерации.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Учитывая изначальную подачу жалобы с пропуском срока в отсутствие объективной причины и преодолимость, в частности при электронной форме 2 подачи жалобы, названной в ходатайстве причины, основания для восстановления срока не имеется.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Малаховой Оксане Викторовне в восстановлении срока подачи кассационной жалобы на определение Арбитражного суда Красноярского края от 03.02.2023, постановление Третьего арбитражного апелляционного суда от 23.05.2023 и постановление Арбитражного суда Восточно-Сибирского округа от 08.09.2023 по делу № А33-4371/2018.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