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29.03.2023, оставленным без изменения постановлением Девятого арбитражного апелляционного суда от 06.06.2023 и постановлением Арбитражного суда Московского округа от 21.08.2023, взыскано 5 295 482 рублей 80 копеек неосновательного обогащения, 576 953 рубля 74 копейки процентов за пользование чужими денежными средствами. В кассационной жалобе общество «Трансавиаэкспорт» просит об отмене судебных актов в удовлетворенной части требований, ссылаясь на нарушение норм о неосновательном обогащении,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наличие у ответчика обязанности в силу статьи 1102 Гражданского кодекса Российской Федерации возвратить полученную от истца сумму, поскольку оснований для ее удержания в отсутствие реального исполнения обязательства не установлено. Вопросы доказывания и оценки доказательств, на которых основаны доводы жалобы, не составляют оснований для кассационного пересмотра судебных актов. Отказ в пересмотре судебных актов исключает приостановление их исполнения, о котором ходатайствует общество «Трансавиаэкспорт».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«Трансавиаэкспорт»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