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Башкортостана от 05.04.2023, оставленным без изменения постановлением Восемнадцатого арбитражного апелляционного суда от 02.06.2023 и постановлением Арбитражного суда Уральского округа от 30.08.2023, процедура реализации имущества гражданина завершена, должник освобожден от дальнейшего исполнения требований кредиторов, за исключением требований, предусмотренных пунктами 4 и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В кассационной жалобе Шафиков Р.Р. просит об отмене судебных актов в части неосвобождения от субсидиарной ответственности, ссылаясь на неосновательное придание обратной силы правилу о несложении субсидиарной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Субсидиарная ответственность попадала под неслагаемые обязательства и в период вынесения судебного акта о привлечении должника к субсидиарной ответственности (до вступления в силу редакции Федерального закона от 29.07.2017 № 266-ФЗ).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Шафикову Рустаму Ринатовичу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