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Хайруллова З.И. обратилась в суд с заявлением о включении в реестр требований кредиторов должника (далее – реестр) её требований в размере 4 548 790 400 рублей 86 копеек, основанных на ненадлежащем исполнении двух договоров займа от 01.07.2015 и от 21.06.2016 № 1/ФЛ/2016 Определением Арбитражного суда Самарской области от 27.05.2021, оставленным без изменения постановлением Одиннадцатого арбитражного апелляционного суда от 08.02.2022, требования признаны обоснованными и включены в третью очередь реестра. Постановлением Арбитражного суда Поволжского округа от 21.04.2022 указанные судебные акты отменены; дело направлено на новое рассмотрение в Арбитражный суд Самарской области. При новом рассмотрении определением Арбитражного суда Самарской области от 16.02.2023, оставленным без изменения постановлениями Одиннадцатого арбитражного апелляционного суда от 15.05.2023 и Арбитражного суда Поволжского округа от 08.08.2023, требования признаны обоснованными и подлежащими удовлетворению за счёт имущества должника, оставшегося после удовлетворения требований кредиторов, включённых в реестр. 2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рассмотрение. Исходя из содержания настоящей жалобы, заявитель не согласен с судебными актами в части определения очередности удовлетворения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правовой позицией, изложенной в пунктах 2 и 3 Обзора судебной практики разрешения споров, связанных с установлением в процедурах банкротства требований контролирующих должника и аффилированных с ним лиц, утвержденного Президиумом Верховного Суда Российской Федерации 29.01.2020, пришли к выводу о наличии оснований для субординации требований аффилированного должником лица – Хайрулловой З.И. Выводы судов в обжалуемой части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