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Второго арбитражного апелляционного суда от 30.03.2023, оставленным без изменения постановлением Арбитражного суда Волго-Вятского округа от 26.09.2023, апелляционная жалоба на определение Арбитражного суда Костромской области от 13.01.2020 возвращена должнику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 В кассационной жалобе Соколов Н.М. просит об отмене судебных актов в отношении возвращения апелляционной жалобы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установили подачу жалобы за пределами установленного срока, который восстановлению не подлежит (статья 117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