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Министерство цифрового развития, связи и массовых коммуникаций Российской Федерации обратилось в суд с заявлением о включении в реестр требований кредиторов должника (далее – реестр) требования в размере 198 375 рублей 35 копеек, составляющего долг и пени по уплате обязательных отчислений в резерв универсального обслуживания за 4 квартал 2016 года и 1 квартал 2017 года. Определением Арбитражного суда города Москвы от 05.06.2023, оставленным без изменения постановлениями Девятого арбитражного апелляционного суда от 08.08.2023 и Арбитражного суда Московского округа от 10.10.2023, в удовлетворении заявления о включении в реестр отказано. В кассационной жалобе, поданной в Верховный Суд Российской Федерации, заявитель просит отменить обжалуемые судебные акты, требование включить в реестр.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196, 200 Гражданского кодекса Российской Федерации, статьями 71, 100 Федерального закона от 26.10.2002 № 127-ФЗ «О несостоятельности (банкротстве)», исходили из пропуска заявителем срока исковой давности в отношении заявленного требования и отсутствия доказательств его прерывания, в связи с чем отказали в удовлетворении заявления. Выводы судов соответствуют нормам права, оснований для переоценки этих выводов не имеется. Доводы заявителя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