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«Промсельхозбанк» (далее – банк) обратилось в суд с заявлением о признании должника банкротом. Определением Арбитражного суда города Москвы от 27.08.2021, оставленным без изменения постановлениями Девятого арбитражного апелляционного суда от 25.05.2023 и Арбитражного суда Московского округа от 18.08.2023, заявление банка признано обоснованным; в отношении должника введена процедура наблюдения; временным управляющим должником утвержден Сластёнов Д.А.; требование банка в размере 29 796 542 рубля 74 копейки признано обоснованным и включено в третью очередь реестра требований кредиторов должника (далее – реестр).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Арбитражный суд города Москвы. Исходя из содержания настоящей жалобы, заявитель не согласен с судебными актами в части признания обоснованными требований банка к должнику и введения наблюдения в отношении последнего. Жалоба изучена в пределах изложенных в ней доводов.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стаей 33, 48 и 62 Федерального закона от 26.10.2002 № 127-ФЗ «О несостоятельности (банкротстве)», установив факт неоплаты банку задолженности по кредитной сделке более трёх месяцев, пришли к выводу об обоснованности и подтверждённости требований банка к должнику, наличия оснований для введения процедуры наблюдения в отношении должника и включения требований банка в третью очередь реестра в указанном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