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автомобиля Ауди A8L 2013 год выпуска от 16.05.2018 № 180410/4, заключенный должником и Джорданом Б., и применении последствий недействительности сделки. Определением Арбитражного суда города Москвы от 03.04.2023, оставленным без изменения постановлениями Девятого арбитражного апелляционного суда от 19.06.2023 и Арбитражного суда Московского округа от 30.08.2023, заявление удовлетворено; применены последствия недействительности сделки в виде взыскания с Джордана Б. в конкурсную массу должника денежных средств в размере стоимости переданного имущества – 1 394 260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отсутствии надлежащих доказательств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