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Второго арбитражного апелляционного суда от 11.05.2023, оставленным без изменения постановлением Арбитражного суда Волго-Вятского округа от 29.09.2023, апелляционная жалоба на определение Арбитражного суда Костромской области от 28.10.2019 возвращена должнику на основании пункта 3 части 1 статьи 264 Арбитражного процессуального кодекса Российской Федерации в связи с пропуском срока подачи и отказом в удовлетворении ходатайства о восстановлении срока. В кассационной жалобе Соколов Н.М. просит об отмене судебных актов в отношении возвращения апелляционной жалобы как незаконных.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Суды установили подачу жалобы за пределами установленного срока, который восстановлению не подлежит (статья 117 Арбитражного процессуального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