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Второго арбитражного апелляционного суда от 12.05.2023, оставленным без изменения постановлением Арбитражного суда Волго-Вятского округа от 02.10.2023, апелляционная жалоба на определение Арбитражного суда Костромской области от 12.04.2021 возвращена должнику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 В кассационной жалобе Соколов Н.М. просит об отмене судебных актов в отношении возвращения апелляционной жалобы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2 Суды установили подачу жалобы за пределами установленного срока, который восстановлению не подлежит (статья 117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