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12.05.2023, оставленным без изменения постановлением Арбитражного суда Волго-Вятского округа от 02.10.2023,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