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06.07.2023, оставленным без изменения постановлением Арбитражного суда Волго-Вятского округа от 08.09.2023,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