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обратился в суд с заявлением об обязании бывшего генерального директора должника ФИО1 передать ему бухгалтерскую и иную документацию, печати, штампы, материальные и иные ценности. Определением Арбитражного суда Московской области от 20.11.2022 заявление удовлетворено. Постановлением Десятого арбитражного апелляционного суда от 04.06.2021 данное определение отменено по безусловным основаниям. Заявление рассмотрено по правилам, установленным для рассмотрения дела в суде первой инстанции и в удовлетворении указанных в нём требований отказано. Постановлением Арбитражного суда Московского округа от 27.10.2021 отменено постановление апелляционного суда от 04.06.2011, обособленный спор направлен на новое рассмотрение в Десятый арбитражный апелляционный суд. При новом рассмотрении спора постановлением Десятого арбитражного апелляционного суда от 04.07.2022, оставленным без изменения постановлением Арбитражного суда Московского округа от 29.11.2021, отменено определение суда первой инстанции от 20.11.2020. По делу принят новый судебный акт об обязании ФИО1 предоставить конкурсному управляющему должником в течении четырнадцати календарных дней со дня вступления в законную силу постановления апелляционного суда бухгалтерскую и иную документацию должника, печати, штампы, материальные и иные ценности должника согласно приведённому в постановлении перечню. В кассационной жалобе, поданной в Верховный Суд Российской Федерации, заявитель просит отменить постановления судов апелляционной инстанции и округа, принятые на новом рассмотрении спора, направить обособленный спор на новое рассмотрение в апелляционный суд.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основываясь на оценке представленных в дело доказательств и результатах судебной технической экспертизы в соответствии с правилами главы 7 Арбитражного процессуального кодекса Российской Федерации, руководствуясь статьями 20.3 , 126 , 129 Федерального закона от 26.10.2002 № 127-ФЗ «О несостоятельности (банкротстве)», исходили из недоказанности факта передачи бывшим генеральным директором должника ликвидатору и конкурсному управляющему должником запрошенных документов, материальных и иных ценностей. Выводы судов апелляционной инстанции и округа соответствуют нормам права, оснований для переоценки этих выводов не имеется. Несогласие заявителя с данными выводами,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ИФНС №5 по МО (подробнее) ООО "ИНБАНК" (подробнее) ООО "Лукойл-Центрнефтепродукт" (подробнее) ООО "Ставролен" (подробнее) СРО АУ ЦФО (подробнее) Ответчики: ООО "ПрофСиз"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