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Серова Елена Алексеевна и кредитор общество с ограниченной ответственностью «Стеллар» обратились в суд с заявлениями, объединёнными в одно производство для совместного рассмотрения о взыскании с бывшего руководителя и участника должника Глазовского С.Н. убытков в размере 36 204 043 рубля 19 копеек. Определением Арбитражного суда Московской области от 28.03.2023, оставленным без постановлениями Десятого арбитражного апелляционного суда от 21.06.2023 и Арбитражного суда Московского округа от 25.08.2023, заявление удовлетворено, с Глазовского С.Н. в конкурсную массу должника взысканы убытки в размере 36 204 043 рубля 19 копеек. В кассационной жалобе, поданной в Верховный Суд Российской Федерации, заявитель просит отменить обжалуемые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53, 53.1 Гражданского кодекса Российской Федерации, признали доказанным наличие оснований для привлечения Глазовского С.Н. к гражданско–правовой ответственности в виде взыскания убытков, возникших в результате списания товарно–материальных ценностей, принадлежащих должнику, перед банкротством последнего с целью недопущения обращения на них взыскания, что повлекло причинение убытков должнику в заявленном размере.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