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обратился в суд с заявлением о признании недействительными сделками платежей, совершённых 11.01.2022 должником в пользу публичного акционерного общества «Сбербанк России» (далее – банк, залоговый кредитор) в общем размере 6 699 617 рублей 45 копеек; применении последствий недействительности сделок. Определением Арбитражного суда города Москвы от 03.04.2023, оставленным без изменения постановлениями Девятого арбитражного апелляционного суда от 31.05.2023 и Арбитражного суда Московского округа от 21.08.2023,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61.3, 61.4, 134, 138 Федерального закона от 26.10.2002 № 127-ФЗ «О несостоятельности (банкротстве)», исходили из недоказанности фактов совершения платежей за пределами обычной хозяйственной деятельности, осведомлённости банка о наличии признаков неплатёжеспособности должника (не имевшего на момент совершения сделок непогашенных требований перед кредиторами первой и второй очереди, текущих обязательств), в связи с чем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