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договоров поставки от 26.10.2014 и от 15.12.2015, заключенных между должником и обществом с ограниченной ответственностью «Рассвет» (правопредшественник общества с ограниченной ответственностью «ИМТ Монтенегро»), товарных накладных и счет – фактур от 09.12.2014 № 229 на сумму 96 803 603 рублей 36 копеек и от 25.12.2015 № Р15122501 на сумму23 690 000 рублей; применении последствий недействительности сделок в виде исключения из реестра требований кредиторов должника требований общества «ИМТ Монтенегро». Определением Арбитражного суда города Москвы от 31.03.2023 заявление удовлетворено. Постановлениями Девятого арбитражного апелляционного суда от 22.06.2023, оставленным без изменения постановлением Арбитражного суда Московского округа от 05.09.2023,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181, 195, 196, 199, 200 Гражданского кодекса Российской Федерации, пунктом 6 статьи 20.3 Федерального закона от 26.10.2002 № 127-ФЗ «О несостоятельности (банкротстве)», исходили из истечения срока исковой давности по заявленному требованию до назначения заявителя конкурсным управляющим должником в период деятельности предыдущих управляющих, что послужило самостоятельным основанием для отказа в его удовлетворении.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апелляционной инстанции и округа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свидетельствуют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