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01.02.2022, оставленным без изменения постановлением Семнадцатого арбитражного апелляционного суда от 20.05.2022, отказано в удовлетворении требований. Постановлением Арбитражного суда Уральского округа от 14.09.2022 отменены названные судебные акты, дело направлено на новое рассмотрение в Арбитражный суд Свердловской области. При новом рассмотрении решением Арбитражного суда Свердловской области от 26.12.2023, оставленным без изменения постановлениями Семнадцатого арбитражного апелляционного суда от 18.04.2023 и Арбитражного суда Уральского округа от 15.08.2023,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указав на недоказанность причинно-следственной связи между действиями Васильчука Д.И. и убытками на стороне Казанцева В.М., пришли к выводу об отсутствии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