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15.02.2023, оставленным без изменения постановлением Девятого арбитражного апелляционного суда от 27.04.2023 и постановлением Арбитражного суда Московского округа от 18.08.2023, заявление удовлетворено. В кассационной жалобе Пастухова А.В. просит об отмене судебных актов, ссылаясь на неправильную правовую оценку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исследованных обстоятельствах выдачи должником поручительств при неисполненных собственных обязательствах, о наличии которых ответчик осведомлен, суды установили отклонение от обычного поведения, влекущее недействительность поручительств в силу статей 10, 168, 170 Гражданского кодекса Российской Федерации. Иная оценка обстоятельств совершения сделок заявителем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Пастуховой Александре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