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09.03.2023, оставленным без изменения постановлением Десятого арбитражного апелляционного суда от 19.05.2023 и постановлением Арбитражного суда Московского округа от 07.08.2023, в удовлетворении заявления отказано. В кассационной жалобе ФИО1 просит об отмене судебных актов, ссылаясь на незамену ненадлежащего ответчика, реализацию автомобиля должником за формальную цену.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Для участия в рассмотрении спора на стороне умершего ответчика привлечены его наследники. Установив дату совершения оспариваемой сделки и финансовую состоятельность должника на эту дату, суды признали отсутствие условий для недействительности в силу статей 10 , 168 Гражданского кодекса Российской Федерации. Требуемая переоценка установленных обстоятельств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"Почта Банк" (подробнее) АССОЦИАЦИЯ "САМОРЕГУЛИРУЕМАЯ ОРГАНИЗАЦИЯ АРБИТРАЖНЫХ УПРАВЛЯЮЩИХ "ЛИГА" (подробнее) АССОЦИАЦИЯ "САМОРЕГУЛИРУЕМАЯ ОРГАНИЗАЦИЯ АРБИТРАЖНЫХ УПРАВЛЯЮЩИХ ЦЕНТРАЛЬНОГО ФЕДЕРАЛЬНОГО ОКРУГА" (подробнее) ПАО "Сбербанк России" (подробнее) САУ "Возрождение" (подробнее) Судьи дела: Ксенофонтова Н.А. (судья)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