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24.05.2022, оставленным без изменения постановлением Девятого арбитражного апелляционного суда от 22.08.2022 и постановлением Арбитражного суда Московского округа от 19.12.2022, заявление удовлетворено. В кассационной жалобе ФИО1 просит об отмене судебных актов, ссылаясь на неправильную оценку обстоятельств заключения соглашения.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обстоятельства заключения оспариваемого соглашения, составляющие условий его недействительности в силу пункта 2 статьи 61.2 Федерального закона от 26.10.2002 № 127-ФЗ «О несостоятельности (банкротстве)». Требуемая переоценка установленных обстоятельств не влечет пересмотра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"Альфа-Банк" (подробнее) ИФНС 5 (подробнее) ООО "Гидроланс" (подробнее) ПАО "Восточный экспресс банк" (подробнее) ПАО "Промсвязьбанк" (подробнее) ПАО "Сбербанк России" (подробнее) Фонд содействия кредитованию малого бизнеса Москвы (подробнее) Иные лица: ПАО "Совкомбанк"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