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03.02.2023 заявление удовлетворено. Постановлением Девятого арбитражного апелляционного суда от 10.05.2023 определение отменено, в удовлетворении заявления отказано. Постановлением Арбитражного суда Московского округа от 15.08.2023 постановление апелляционного суда отменено, определение суда первой инстанции оставлено в силе. В кассационной жалобе Некрасов С.В. просит об отмене определения суда первой инстанции и постановления окружного суда, ссылаясь на правильную оценку обстоятельств спора апелляционным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 установленное длительное неисполнение судебного акта и затруднительность возврата доли в уставном капитале юридического лица, зарегистрированного в иностранном государстве, у суда первой инстанции согласно части 1 статьи 324 Арбитражного процессуального кодекса Российской Федерации имелось основание для изменения способа исполнения определения от 09.02.2022 на взыскание стоимости указанной доли, присужденной к возврату в конкурсную массу.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Некрасову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