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17.04.2023, оставленным без изменения постановлением Девятого арбитражного апелляционного суда от 14.06.2023 и постановлением Арбитражного суда Московского округа от 04.09.2023, исковые требования удовлетворены. В кассационной жалобе предприятие просит об отмене указанных судебных актов, ссылаясь на представление ненадлежащих доказательств уведомления о состоявшейся уступке.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Суды установили, что после получения уведомления о состоявшейся уступке прав требования ответчиком произведена частичная оплата задолженности (платежное поручение от 17.12.2020 № 1163). Указанное обстоятельство опровергает доводы ответчика о неполучении уведомления об уступке и производстве расчетов с подрядчиком. В такой ситуации суды взыскали задолженность в пользу компании в соответствии со статьями 314 , 431 , 824 , 830 Гражданского кодекса Российской Федерации. Доводы, приведенные в кассационной жалобе, являлись предметом рассмотрения судов, получили надлежащую правовую оценку и не создают оснований для пересмотра обжалуемых судебных актов в кассационном порядке Верховным Судом Российской Федерации. Руководствуясь статьями 291.6 , 291.8 ,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казенному предприятию города Москвы «Большая спортивная арена «Лужники»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"ФАКТОРИНГОВАЯ КОМПАНИЯ ЛУЧ" (подробнее) Ответчики: КАЗЕННОЕ ПРЕДПРИЯТИЕ ГОРОДА МОСКВЫ "БОЛЬШАЯ СПОРТИВНАЯ АРЕНА "ЛУЖНИКИ" (подробнее) Иные лица: ООО "Преображение"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