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21.02.2023, оставленным без изменения постановлением Седьмого арбитражного апелляционного суда от 24.04.2023 и постановлением Арбитражного суда Западно-Сибирского округа от 24.08.2023, заявление удовлетворено. В кассационной жалобе Кривчиков С.И. просит об отмене судебных актов, ссылаясь на неосновательное непринятие его доводов об отсутствии у должника права на оспаривание сделки и доказательств уменьшения конкурсной массы, о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 заключения оспариваемого договора, указывающие на наличие необходимых в силу пункта 1 статьи 61.2 Федерального закона от 26.10.2002 № 127-ФЗ «О несостоятельности (банкротстве)» условий для признания его недействительным. Доводам ответчика о неправомочности оспаривания сделки и уменьшении конкурсной массы дана правовая оценка.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Кривчикову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