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«Новая связь центр» (далее – общество) обратилось в Арбитражный суд города Москвы с иском к обществу с ограниченной ответственностью «Аптека дежурная» (далее – компания) о взыскании 180 000 руб. неосновательного обогащения по договору субаренды от 25.07.2017 и 5 468,16 руб. процентов за пользование чужими денежными средствами, начисленных за период с 31.08.2020 по 13.05.2021, с последующим начислением процентов в порядке статьи 395 Гражданского кодекса Российской Федерации (далее – ГК РФ) с 14.05.2021 по день вынесения судом решения по делу. К совместному рассмотрению с первоначальным иском был принят встречный иск о взыскании 216 000 руб. задолженности по арендной плате и 78 726 руб. неустойки (с взысканием до момента фактического исполнения обязательства). 2 К участию в деле,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«Вангор» (далее - ООО «Вангор», третье лицо). Решением Арбитражного суда города Москвы от 28.10.2022, оставленным без изменения постановлением Девятого арбитражного апелляционного суда от 25.04.2023 и постановлением Арбитражного суда Московского округа от 17.08.2023, первоначальный иск удовлетворен в полном объеме, в удовлетворении встречного иска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 на недоказанность факта уменьшения размера арендной платы в спорный период, неправомерное привлечение к участию в деле третьего лица и отказ в его исключении из состава лиц, участвующих в деле.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компанией (субарендодатель) и обществом (субарендатор) заключен договор субаренды от 25.07.2017, по условиям которого субарендодатель обязуется передать субарендатору во временное пользование часть нежилого помещения XI по адресу: г. Москва, Ленинградский пр-т, д. 75, к. 1, площадью 18 кв.м. Согласно разделу 5 договора ежемесячная арендная плата по договору составляет 180 000 руб., которая вносится ежемесячно до 10-го числа оплачиваемого месяца. Договором предусмотрено, что субарендатор оплачивает субарендодателю обеспечительный взнос в размере 180 000 руб., который является оплатой последнего месяца аренды. Во исполнение условий договора общество платежным поручением от 26.07.2017 № 268 перечислило компании обеспечительный взнос в размере 180 000 руб. 3 Согласно условиям договора субаренды, помещение, в отношении которого сторонами заключен договор, арендовано компанией у третьего лица (собственника помещения) на основании договора аренды от 12.04.2016 № 02/16. По акту приема-передачи от 01.09.2020 компания возвратила помещение арендодателю ООО «Вангор», арендованное по этому договору аренды, в том числе ту его часть, которую арендовало общество. Таким образом, последним месяцем аренды по договору субаренды являлся август 2020 года. Ссылаясь на прекращение субарендных отношений и отсутствие оснований для удержания обеспечительного взноса, общество обратилось в суд с настоящим иском. Заявляя встречный иск, компания указала на ненадлежащее исполнение обществом обязательств по внесению арендной платы за период с мая по июль 2020 года и август 2020 года. Исследовав и оценив по правилам статьи 71 АПК РФ представленные доказательства, руководствуясь статьями 10, 309, 310, 381.1, 395, 606, 614-615, 1102 ГК РФ, статьей 19 Федерального закона от 01.04.2020 № 98-ФЗ «О внесении изменений в отдельные законодательные акты Российской Федерации по вопросам предупреждения и ликвидации чрезвычайных ситуаций», правовой позицией, изложенной в Обзоре по отдельным вопросам судебной практики, связанным с применением законодательства и мер по противодействию распространению на территории Российской Федерации новой коронавирусной инфекции (COVID-19) № 3», утвержденном Президиумом Верховного Суда Российской Федерации 17 февраля 2021 года (вопрос № 5), установив факт прекращения субарендных отношений; надлежащее исполнение субарендатором обязательств по внесению арендных платежей; отсутствие подтверждения возвращения обеспечительного взноса, суд первой инстанции удовлетворил первоначальный иск и отказал в удовлетворении встречного иска, придя к выводу об отсутствии оснований для зачета обеспечительного взноса в счет арендной платы по договору за август 2020 года, поскольку арендная плата за период с апреля по август 2020 года была уплачена истцом в полном объеме. Выводы суда первой инстанции поддержали суды апелляционной инстанции и округа.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 отказать в передаче кассационной жалобы общества с ограниченной ответственностью «Аптека Дежурная»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